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B51" w:rsidRPr="002D0F01" w:rsidRDefault="00341B51" w:rsidP="00341B51">
      <w:pPr>
        <w:spacing w:after="0" w:line="240" w:lineRule="auto"/>
        <w:jc w:val="center"/>
        <w:rPr>
          <w:szCs w:val="24"/>
        </w:rPr>
      </w:pPr>
      <w:r>
        <w:rPr>
          <w:szCs w:val="24"/>
        </w:rPr>
        <w:t xml:space="preserve">  </w:t>
      </w:r>
      <w:r>
        <w:rPr>
          <w:noProof/>
        </w:rPr>
        <w:drawing>
          <wp:inline distT="0" distB="0" distL="0" distR="0" wp14:anchorId="4F3CA994" wp14:editId="6542620A">
            <wp:extent cx="5486400" cy="562991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86400" cy="5629913"/>
                    </a:xfrm>
                    <a:prstGeom prst="rect">
                      <a:avLst/>
                    </a:prstGeom>
                    <a:noFill/>
                  </pic:spPr>
                </pic:pic>
              </a:graphicData>
            </a:graphic>
          </wp:inline>
        </w:drawing>
      </w:r>
    </w:p>
    <w:p w:rsidR="00341B51" w:rsidRDefault="00341B51" w:rsidP="00341B51">
      <w:pPr>
        <w:pStyle w:val="Caption"/>
        <w:tabs>
          <w:tab w:val="left" w:pos="1080"/>
        </w:tabs>
        <w:spacing w:after="0"/>
        <w:ind w:left="1080" w:hanging="1080"/>
        <w:rPr>
          <w:sz w:val="24"/>
          <w:szCs w:val="24"/>
        </w:rPr>
      </w:pPr>
      <w:bookmarkStart w:id="0" w:name="_Ref365382516"/>
      <w:r w:rsidRPr="002D0F01">
        <w:rPr>
          <w:sz w:val="24"/>
          <w:szCs w:val="24"/>
        </w:rPr>
        <w:t xml:space="preserve">Figure </w:t>
      </w:r>
      <w:r w:rsidRPr="002D0F01">
        <w:rPr>
          <w:szCs w:val="24"/>
        </w:rPr>
        <w:fldChar w:fldCharType="begin"/>
      </w:r>
      <w:r w:rsidRPr="002D0F01">
        <w:rPr>
          <w:sz w:val="24"/>
          <w:szCs w:val="24"/>
        </w:rPr>
        <w:instrText xml:space="preserve"> SEQ Figure \* ARABIC </w:instrText>
      </w:r>
      <w:r w:rsidRPr="002D0F01">
        <w:rPr>
          <w:szCs w:val="24"/>
        </w:rPr>
        <w:fldChar w:fldCharType="separate"/>
      </w:r>
      <w:r>
        <w:rPr>
          <w:noProof/>
          <w:sz w:val="24"/>
          <w:szCs w:val="24"/>
        </w:rPr>
        <w:t>8</w:t>
      </w:r>
      <w:r w:rsidRPr="002D0F01">
        <w:rPr>
          <w:szCs w:val="24"/>
        </w:rPr>
        <w:fldChar w:fldCharType="end"/>
      </w:r>
      <w:bookmarkEnd w:id="0"/>
      <w:r>
        <w:rPr>
          <w:sz w:val="24"/>
          <w:szCs w:val="24"/>
        </w:rPr>
        <w:t>:</w:t>
      </w:r>
      <w:r>
        <w:rPr>
          <w:sz w:val="24"/>
          <w:szCs w:val="24"/>
        </w:rPr>
        <w:tab/>
        <w:t xml:space="preserve">The </w:t>
      </w:r>
      <w:bookmarkStart w:id="1" w:name="_GoBack"/>
      <w:bookmarkEnd w:id="1"/>
      <w:r>
        <w:rPr>
          <w:sz w:val="24"/>
          <w:szCs w:val="24"/>
        </w:rPr>
        <w:t xml:space="preserve">proposed 900 </w:t>
      </w:r>
      <w:r>
        <w:rPr>
          <w:rFonts w:cs="Times New Roman"/>
          <w:sz w:val="24"/>
          <w:szCs w:val="24"/>
        </w:rPr>
        <w:t>°</w:t>
      </w:r>
      <w:r>
        <w:rPr>
          <w:sz w:val="24"/>
          <w:szCs w:val="24"/>
        </w:rPr>
        <w:t xml:space="preserve">C isothermal section determined in the present study.  The experimental data collected in the present study and those reported by Kobayashi are shown in both.  Open symbols are alloy compositions while filled shapes are phase compositions determined in the present study (L01 and L02 alloy compositions are bold, while phase compositions are not bold).  </w:t>
      </w:r>
      <w:r w:rsidRPr="00065385">
        <w:rPr>
          <w:rFonts w:ascii="Symbol" w:hAnsi="Symbol"/>
          <w:sz w:val="24"/>
          <w:szCs w:val="24"/>
        </w:rPr>
        <w:t></w:t>
      </w:r>
      <w:r w:rsidRPr="00065385">
        <w:rPr>
          <w:i/>
          <w:sz w:val="24"/>
          <w:szCs w:val="24"/>
          <w:vertAlign w:val="superscript"/>
        </w:rPr>
        <w:t xml:space="preserve">f </w:t>
      </w:r>
      <w:r>
        <w:rPr>
          <w:sz w:val="24"/>
          <w:szCs w:val="24"/>
        </w:rPr>
        <w:t xml:space="preserve">indicates ferromagnetic </w:t>
      </w:r>
      <w:r w:rsidRPr="00F338C9">
        <w:rPr>
          <w:rFonts w:ascii="Symbol" w:hAnsi="Symbol"/>
          <w:sz w:val="24"/>
          <w:szCs w:val="24"/>
        </w:rPr>
        <w:t></w:t>
      </w:r>
      <w:r>
        <w:rPr>
          <w:sz w:val="24"/>
          <w:szCs w:val="24"/>
        </w:rPr>
        <w:t xml:space="preserve">, while </w:t>
      </w:r>
      <w:r w:rsidRPr="00065385">
        <w:rPr>
          <w:rFonts w:ascii="Symbol" w:hAnsi="Symbol"/>
          <w:sz w:val="24"/>
          <w:szCs w:val="24"/>
        </w:rPr>
        <w:t></w:t>
      </w:r>
      <w:r w:rsidRPr="00065385">
        <w:rPr>
          <w:i/>
          <w:sz w:val="24"/>
          <w:szCs w:val="24"/>
          <w:vertAlign w:val="superscript"/>
        </w:rPr>
        <w:t>p</w:t>
      </w:r>
      <w:r>
        <w:rPr>
          <w:sz w:val="24"/>
          <w:szCs w:val="24"/>
        </w:rPr>
        <w:t xml:space="preserve"> indicates paramagnetic </w:t>
      </w:r>
      <w:r w:rsidRPr="00F338C9">
        <w:rPr>
          <w:rFonts w:ascii="Symbol" w:hAnsi="Symbol"/>
          <w:sz w:val="24"/>
          <w:szCs w:val="24"/>
        </w:rPr>
        <w:t></w:t>
      </w:r>
      <w:r>
        <w:rPr>
          <w:sz w:val="24"/>
          <w:szCs w:val="24"/>
        </w:rPr>
        <w:t>.</w:t>
      </w:r>
    </w:p>
    <w:p w:rsidR="00C03E67" w:rsidRDefault="00C03E67"/>
    <w:sectPr w:rsidR="00C03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B51"/>
    <w:rsid w:val="00341B51"/>
    <w:rsid w:val="00C03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69F96-D40D-46B5-BCFA-5FCEE320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B51"/>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41B51"/>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 Eric</dc:creator>
  <cp:keywords/>
  <dc:description/>
  <cp:lastModifiedBy>Lass, Eric</cp:lastModifiedBy>
  <cp:revision>1</cp:revision>
  <dcterms:created xsi:type="dcterms:W3CDTF">2014-09-02T20:47:00Z</dcterms:created>
  <dcterms:modified xsi:type="dcterms:W3CDTF">2014-09-02T20:48:00Z</dcterms:modified>
</cp:coreProperties>
</file>